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B6" w:rsidRPr="00811FB6" w:rsidRDefault="00811FB6" w:rsidP="00811FB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ПОВІДОМЛЕННЯ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про оприлюднення проекту наказу Міністерства внутрішніх справ України «Про затвердження Вимог до об'єктів і приміщень, призначених для здійснення діяльності з обігу наркотичних   засобів, психотропних речовин, прекурсорів та зберігання вилучених з незаконного обігу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таких засобів і речовин»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        Проект наказу Міністерства внутрішніх справ України «Про затвердження Вимог до об'єктів і приміщень, призначених для здійснення діяльності з обігу наркотичних   засобів, психотропних речовин, прекурсорів та зберігання вилучених з незаконного обігу таких засобів і речовин» розроблено відповідно до Законів України «Про наркотичні засоби, психотропні речовини і прекурсори» та «Про Національну поліцію».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45"/>
        <w:gridCol w:w="4826"/>
      </w:tblGrid>
      <w:tr w:rsidR="00811FB6" w:rsidRPr="00811FB6" w:rsidTr="00811FB6">
        <w:trPr>
          <w:jc w:val="center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Назва органу виконавчої влади, який розробив регуляторний акт</w:t>
            </w:r>
          </w:p>
        </w:tc>
        <w:tc>
          <w:tcPr>
            <w:tcW w:w="4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uk-UA" w:eastAsia="ru-RU"/>
              </w:rPr>
              <w:t>Назва структурного підрозділу, який розробляв регуляторний акт, його адреса та телефони</w:t>
            </w:r>
          </w:p>
        </w:tc>
      </w:tr>
      <w:tr w:rsidR="00811FB6" w:rsidRPr="00811FB6" w:rsidTr="00811FB6">
        <w:trPr>
          <w:jc w:val="center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uk-UA" w:eastAsia="ru-RU"/>
              </w:rPr>
              <w:t>Національна поліція України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uk-UA" w:eastAsia="ru-RU"/>
              </w:rPr>
              <w:t>Департамент протидії наркозлочинності Національної поліції України, 01601, м. Київ, вул. А. Богомольця, 10,</w:t>
            </w:r>
          </w:p>
          <w:p w:rsidR="00811FB6" w:rsidRPr="00811FB6" w:rsidRDefault="00811FB6" w:rsidP="00811FB6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uk-UA" w:eastAsia="ru-RU"/>
              </w:rPr>
              <w:t>(044) 254-93-26, </w:t>
            </w:r>
            <w:r w:rsidRPr="00811F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http</w:t>
            </w:r>
            <w:r w:rsidRPr="00811F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uk-UA" w:eastAsia="ru-RU"/>
              </w:rPr>
              <w:t>://www.npu.gov.ua/</w:t>
            </w:r>
          </w:p>
        </w:tc>
      </w:tr>
    </w:tbl>
    <w:p w:rsidR="00811FB6" w:rsidRPr="00811FB6" w:rsidRDefault="00811FB6" w:rsidP="00811FB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        Проект наказу та пояснювальну записку оприлюднено на we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b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-сайті </w:t>
      </w:r>
      <w:hyperlink r:id="rId4" w:history="1">
        <w:r w:rsidRPr="00811FB6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http://</w:t>
        </w:r>
        <w:r w:rsidRPr="00811FB6">
          <w:rPr>
            <w:rFonts w:ascii="Verdana" w:eastAsia="Times New Roman" w:hAnsi="Verdana" w:cs="Times New Roman"/>
            <w:color w:val="0000FF"/>
            <w:sz w:val="21"/>
            <w:u w:val="single"/>
            <w:lang w:val="uk-UA" w:eastAsia="ru-RU"/>
          </w:rPr>
          <w:t>www.npu.gov.ua</w:t>
        </w:r>
        <w:r w:rsidRPr="00811FB6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/</w:t>
        </w:r>
      </w:hyperlink>
    </w:p>
    <w:p w:rsidR="00811FB6" w:rsidRPr="00811FB6" w:rsidRDefault="00811FB6" w:rsidP="00811FB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Зауваження та пропозиції до проекту від фізичних та юридичних осіб приймаються до 30 червня 2017 року на адресу Національної поліції України або на електронну адресу: </w:t>
      </w:r>
      <w:hyperlink r:id="rId5" w:history="1">
        <w:r w:rsidRPr="00811FB6">
          <w:rPr>
            <w:rFonts w:ascii="Verdana" w:eastAsia="Times New Roman" w:hAnsi="Verdana" w:cs="Times New Roman"/>
            <w:color w:val="0000FF"/>
            <w:sz w:val="21"/>
            <w:u w:val="single"/>
            <w:lang w:val="uk-UA" w:eastAsia="ru-RU"/>
          </w:rPr>
          <w:t>legal@an</w:t>
        </w:r>
        <w:r w:rsidRPr="00811FB6">
          <w:rPr>
            <w:rFonts w:ascii="Verdana" w:eastAsia="Times New Roman" w:hAnsi="Verdana" w:cs="Times New Roman"/>
            <w:color w:val="0000FF"/>
            <w:sz w:val="21"/>
            <w:u w:val="single"/>
            <w:lang w:val="en-US" w:eastAsia="ru-RU"/>
          </w:rPr>
          <w:t>tidrug</w:t>
        </w:r>
        <w:r w:rsidRPr="00811FB6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.</w:t>
        </w:r>
        <w:r w:rsidRPr="00811FB6">
          <w:rPr>
            <w:rFonts w:ascii="Verdana" w:eastAsia="Times New Roman" w:hAnsi="Verdana" w:cs="Times New Roman"/>
            <w:color w:val="0000FF"/>
            <w:sz w:val="21"/>
            <w:u w:val="single"/>
            <w:lang w:val="en-US" w:eastAsia="ru-RU"/>
          </w:rPr>
          <w:t>gov</w:t>
        </w:r>
        <w:r w:rsidRPr="00811FB6">
          <w:rPr>
            <w:rFonts w:ascii="Verdana" w:eastAsia="Times New Roman" w:hAnsi="Verdana" w:cs="Times New Roman"/>
            <w:color w:val="0000FF"/>
            <w:sz w:val="21"/>
            <w:u w:val="single"/>
            <w:lang w:eastAsia="ru-RU"/>
          </w:rPr>
          <w:t>.</w:t>
        </w:r>
        <w:r w:rsidRPr="00811FB6">
          <w:rPr>
            <w:rFonts w:ascii="Verdana" w:eastAsia="Times New Roman" w:hAnsi="Verdana" w:cs="Times New Roman"/>
            <w:color w:val="0000FF"/>
            <w:sz w:val="21"/>
            <w:u w:val="single"/>
            <w:lang w:val="en-US" w:eastAsia="ru-RU"/>
          </w:rPr>
          <w:t>ua</w:t>
        </w:r>
      </w:hyperlink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, а також на адресу Державної регуляторної служби України: 01011, м. Київ, вул. Арсенальна, 9/11,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mail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@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dkrp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gov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en-US" w:eastAsia="ru-RU"/>
        </w:rPr>
        <w:t>ua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811FB6" w:rsidRPr="00811FB6" w:rsidRDefault="00811FB6" w:rsidP="00811FB6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sz w:val="21"/>
          <w:szCs w:val="21"/>
          <w:lang w:val="uk-UA" w:eastAsia="ru-RU"/>
        </w:rPr>
        <w:t>МІНІСТЕРСТВО ВНУТРІШНІХ СПРАВ УКРАЇНИ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sz w:val="21"/>
          <w:szCs w:val="21"/>
          <w:lang w:val="uk-UA" w:eastAsia="ru-RU"/>
        </w:rPr>
        <w:t>НАКАЗ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ru-RU"/>
        </w:rPr>
        <w:t>2017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 м. Киї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в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    №________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 затвердження Вимог до об'єктів і приміщень, призначених для здійснення діяльності з обігу наркотичних засобів, психотропних речовин, прекурсорів та зберігання вилучених з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незаконного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обігу таких засобів і речовин</w:t>
      </w:r>
    </w:p>
    <w:p w:rsidR="00811FB6" w:rsidRPr="00811FB6" w:rsidRDefault="00811FB6" w:rsidP="00811FB6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Відповідно до Законів України «Про наркотичні засоби, психотропні речовини і прекурсори», «Про Національну поліцію» та з метою вдосконалення механізму видачі Національною поліцією України дозволу на використання об'єктів і приміщень, призначених для здійснення діяльності з обігу наркотичних засобів, психотропних речовин і прекурсорів, з метою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приведення нормативно-правових 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актів МВС, які регулюють діяльність Національної поліції України, 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у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відповідність до законодавства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НАКАЗУЮ: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1. Затвердити Вимоги до об'єктів і приміщень, призначених для здійснення діяльності з обігу  наркотичних засобів, психотропних речовин, прекурсорів та зберігання вилучених з незаконного обігу таких засобів і речовин, що додаються.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2.  Визнати таким, що втратив чинність, наказ Міністерства внутрішніх справ України від 15 травня 2009 року № 216 «Про затвердження Вимог до об'єктів і приміщень, призначених для здійснення діяльності з обігу наркотичних засобів, психотропних речовин, прекурсорів та зберігання вилучених з незаконного обігу таких засобів і речовин», зареєстрований у Міністерстві юстиції України  12 серпня 2009 року за № 759/16775 (із змінами).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3.  Департаменту формування політики щодо підконтрольних Міністрові органів влади та моніторингу МВС (Боднар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В.Є.) забезпечити подання цього наказу на державну реєстрацію до Міністерства юстиції України в установленому порядку.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4.  Цей наказ набирає чинності з дня його офіційного опублікування.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5. Контроль за виконанням цього наказу покласти на Голову Національної поліції України.</w:t>
      </w:r>
    </w:p>
    <w:p w:rsidR="00811FB6" w:rsidRPr="00811FB6" w:rsidRDefault="00811FB6" w:rsidP="00811FB6">
      <w:pPr>
        <w:shd w:val="clear" w:color="auto" w:fill="F8F8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11FB6">
        <w:rPr>
          <w:rFonts w:ascii="Verdana" w:eastAsia="Times New Roman" w:hAnsi="Verdana" w:cs="Courier New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Міністр                                                          А.Б. Аваков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ЗАТВЕРДЖЕНО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Н</w:t>
      </w: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аказ М</w:t>
      </w: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і</w:t>
      </w: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</w:t>
      </w: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і</w:t>
      </w: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стерства внутр</w:t>
      </w: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іш</w:t>
      </w: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</w:t>
      </w: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і</w:t>
      </w: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х</w:t>
      </w: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  справ   України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від ______ 2017 року № ____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ВИМОГИ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 об'єкті</w:t>
      </w:r>
      <w:proofErr w:type="gramStart"/>
      <w:r w:rsidRPr="00811FB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в</w:t>
      </w:r>
      <w:proofErr w:type="gramEnd"/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і приміщень, призначених для здійснення діяльності з обігу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наркотичних засобів, психотропних речовин, прекурсорів та зберігання вилучених з </w:t>
      </w:r>
      <w:proofErr w:type="gramStart"/>
      <w:r w:rsidRPr="00811FB6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незаконного</w:t>
      </w:r>
      <w:proofErr w:type="gramEnd"/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обігу таких засобів і речовин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I. Загальні положення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Ц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 Вимоги визначають заходи, що вживаються суб'єктами господарювання, Службою безпеки України, Нац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і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ональною пол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і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ією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Укра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ї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 і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Державною фіскальною службою України з технічного укріплення та охорони місць концентрації наркотичних засобів, психотропних речовин і прекурсорів (далі - місця концентрації), призначених для здійснення діяльності з культивування рослин, уключених до таблиці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 xml:space="preserve"> Переліку наркотичних засобів, психотропних речовин і прекурсорів, затвердженого постановою Кабінету Міністрів України від 6 травня 2000 року № 770               (далі - Перелік) розроблення, виробництва, виготовлення, зберігання, використання, знищення наркотичних засобів, 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lastRenderedPageBreak/>
        <w:t>психотропних речовин і прекурсорів, уключених до зазначеного Переліку (далі - діяльність, пов'язана з обігом наркотичних засобів, психотропних речовин і прекурсорів), і зберігання вилучених з незаконного обігу таких засобів і речовин.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Місця концентрації можуть бути закритого (приміщення) або відкритого (об'єкти) типу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2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Місця концентрації визначаються суб'єктами господарювання, Службою безпеки України</w:t>
      </w:r>
      <w:r w:rsidRPr="00811FB6">
        <w:rPr>
          <w:rFonts w:ascii="Verdana" w:eastAsia="Times New Roman" w:hAnsi="Verdana" w:cs="Times New Roman"/>
          <w:color w:val="000000"/>
          <w:sz w:val="21"/>
          <w:lang w:val="uk-UA" w:eastAsia="ru-RU"/>
        </w:rPr>
        <w:t>, 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Нац</w:t>
      </w:r>
      <w:r w:rsidRPr="00811FB6">
        <w:rPr>
          <w:rFonts w:ascii="Verdana" w:eastAsia="Times New Roman" w:hAnsi="Verdana" w:cs="Times New Roman"/>
          <w:color w:val="000000"/>
          <w:sz w:val="21"/>
          <w:lang w:val="uk-UA" w:eastAsia="ru-RU"/>
        </w:rPr>
        <w:t>і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ональною пол</w:t>
      </w:r>
      <w:r w:rsidRPr="00811FB6">
        <w:rPr>
          <w:rFonts w:ascii="Verdana" w:eastAsia="Times New Roman" w:hAnsi="Verdana" w:cs="Times New Roman"/>
          <w:color w:val="000000"/>
          <w:sz w:val="21"/>
          <w:lang w:val="uk-UA" w:eastAsia="ru-RU"/>
        </w:rPr>
        <w:t>і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ц</w:t>
      </w:r>
      <w:r w:rsidRPr="00811FB6">
        <w:rPr>
          <w:rFonts w:ascii="Verdana" w:eastAsia="Times New Roman" w:hAnsi="Verdana" w:cs="Times New Roman"/>
          <w:color w:val="000000"/>
          <w:sz w:val="21"/>
          <w:lang w:val="uk-UA" w:eastAsia="ru-RU"/>
        </w:rPr>
        <w:t>ією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 Укра</w:t>
      </w:r>
      <w:r w:rsidRPr="00811FB6">
        <w:rPr>
          <w:rFonts w:ascii="Verdana" w:eastAsia="Times New Roman" w:hAnsi="Verdana" w:cs="Times New Roman"/>
          <w:color w:val="000000"/>
          <w:sz w:val="21"/>
          <w:lang w:val="uk-UA" w:eastAsia="ru-RU"/>
        </w:rPr>
        <w:t>ї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ни і </w:t>
      </w:r>
      <w:r w:rsidRPr="00811FB6">
        <w:rPr>
          <w:rFonts w:ascii="Verdana" w:eastAsia="Times New Roman" w:hAnsi="Verdana" w:cs="Times New Roman"/>
          <w:color w:val="000000"/>
          <w:sz w:val="21"/>
          <w:lang w:val="uk-UA" w:eastAsia="ru-RU"/>
        </w:rPr>
        <w:t>Державною фіскальною службою України 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самостійно відповідно до технологічних регламентів та внутрішніх процедур переміщення наркотичних засобів, психотропних речовин, прекурсорів і культивування, перевезення, зберігання та знищення рослин, уключених до Переліку</w:t>
      </w:r>
      <w:r w:rsidRPr="00811FB6">
        <w:rPr>
          <w:rFonts w:ascii="Verdana" w:eastAsia="Times New Roman" w:hAnsi="Verdana" w:cs="Times New Roman"/>
          <w:color w:val="000000"/>
          <w:sz w:val="21"/>
          <w:lang w:val="uk-UA" w:eastAsia="ru-RU"/>
        </w:rPr>
        <w:t>.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ісля визначення місць концентрації суб'єктом господарювання, Службою безпеки України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,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Нац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і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ональною пол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і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ією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Укра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ї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ни і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Державною фіскальною службою України</w:t>
      </w:r>
      <w:r w:rsidRPr="00811FB6">
        <w:rPr>
          <w:rFonts w:ascii="Verdana" w:eastAsia="Times New Roman" w:hAnsi="Verdana" w:cs="Times New Roman"/>
          <w:color w:val="FF0000"/>
          <w:sz w:val="21"/>
          <w:szCs w:val="21"/>
          <w:lang w:val="uk-UA" w:eastAsia="ru-RU"/>
        </w:rPr>
        <w:t>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готуються план-схема та інструкція з експлікації із зазначенням місць концентрації і шляхів руху цих речовин від одного місця концентрації до іншого.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Кожне місце концентрації має бути позначено порядковим номером. Щодо кожного місця концентрації в примітках до експлікації вказуються перелік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ідконтрольних речовин, які знаходяться в такому місці, а також ужиті заходи щодо технічного укріплення і оснащення цього місця концентрації.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II. 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Техн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ічне укріплення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1. 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Техн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ічне укріплення місць концентрації закритого типу (приміщень):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Приміщення, які використовуються для зберігання вилучених з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незаконного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обігу наркотичних засобів, психотропних речовин і прекурсорів, повинні відповідати таким вимогам: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 мають бути еквівалентні за міцністю цегляним стінам товщиною не менше 500 мм;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ідлога і стеля мають бути еквівалентні за міцністю залізобетонній плиті товщиною не менше 180 мм;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іни, стельове перекриття, підлога, які не відповідають указаним вимогам, з внутрішнього боку по всій площі повинні бути укріплені сталевими ґратами з діаметром прутів не менше 10 мм та розмірами вічок не більше 150x150 мм. Ґрати приварюються до випущених з кладки стіни чи плит, перекритих анкерами діаметром не менше 12 мм, кроком 500x500 мм. Якщо неможливо вмонтувати анкери, то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допускається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пристрілювати до залізобетонних поверхонь чотирма дюбелями закладні деталі із сталевої штаби розміром 100x50x6 мм;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вхідні двері сховищ повинні бути справні, добре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ідігнані під дверну коробку, металеві або дерев'яні повнотілі, товщиною не менше 40 мм, мати не менше двох врізаних несамозамикальних замків. Дерев'яні двері оббиваються з обох боків листовим залізом товщиною не менше 0,6 мм із загинанням країв листа на внутрішню поверхню дверей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чи на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торець полотна. Дверний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отв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ір з внутрішнього боку додатково захищається решітчастими металевими дверима, які виготовляються із сталевого прута діаметром не менше 16 мм, вічками не більше 150x150 мм, які зварюються в кожному перетині. Оформлення дверної коробки виконується із сталевого профілю. У діючих сховищах допускаються дерев'яні коробки, посилені сталевими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р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іжками розміром 30x40 мм, товщиною не менше 5 мм, закріпленими в стіну штирями з арматурної сталі діаметром 10-12 мм та довжиною 120-150 мм;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віконні отвори приміщень з внутрішнього боку чи між рамами повинні бути обладнані металевими ґратами, які виготовляються із сталевих прутів діаметром не менше 16 мм і відстанню між прутами по вертикалі та горизонталі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не б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ільше 150 мм. Кінці прутів ґрат замуровуються в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іну на глибину не менше 80 мм та заливаються бетоном.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Допускається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використання декоративних ґрат чи жалюзі, які за міцністю не повинні поступатися зазначеним вище ґратам.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2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Приміщення, які використовуються як аптечні склади, склади на фармацевтичних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ідприємствах для зберігання наркотичних засобів, психотропних речовин і прекурсорів списку 1 таблиці IV Переліку приміщення, які використовуються для розроблення, виробництва наркотичних засобів, психотропних речовин і прекурсорів списку 1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            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таблиці IV Переліку, повинні відповідати таким вимогам: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 мають бути еквівалентні за міцністю цегляним стінам товщиною не менше 500 мм;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ідлога і стеля мають бути еквівалентні за міцністю залізобетонній плиті товщиною не менше 180 мм;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іни, стельове перекриття, підлога, які не відповідають указаним вимогам, з внутрішнього боку по всій площі повинні бути укріплені сталевими ґратами з діаметром прутів не менше 10 мм та розмірами вічок не більше 150x150 мм. ґрати приварюються до випущених з кладки стіни чи плит, перекритих анкерами діаметром не менше 12 мм, кроком 500x500 мм. Якщо неможливо вмонтувати анкери, то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допускається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пристрілювати до залізобетонних поверхонь чотирма дюбелями закладні деталі із сталевої штаби розміром 100x50x6 мм;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вхідні двері сховищ повинні бути справні, добре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ідігнані під дверну коробку, металеві або дерев'яні повнотілі, товщиною не менше 40 мм, мати не менше двох врізаних несамозамикальних замків. Дерев'яні двері оббиваються з обох боків листовим залізом товщиною не менше 0,6 мм із загинанням країв листа на внутрішню поверхню дверей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чи на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торець полотна. Дверний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отв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ір з внутрішнього боку додатково захищається решітчастими металевими дверима, які виготовляються із сталевого прута діаметром не менше 16 мм, вічками не більше 150x150 мм, які зварюються в кожному перетині. Оформлення дверної коробки виконується із сталевого профілю. У діючих сховищах допускаються дерев'яні коробки, посилені сталевими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р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іжками розміром 30x40 мм, товщиною не менше 5 мм, закріпленими в стіну штирями з арматурної сталі діаметром 10-12 мм та довжиною 120-150 мм;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віконні отвори приміщень з внутрішнього боку чи між рамами повинні бути обладнані металевими ґратами, які виготовляються із сталевих прутів діаметром не менше 16 мм і відстанню між прутами по вертикалі і горизонталі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не б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ільше 150 мм. Кінці прутів ґрат замуровуються в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іну на глибину не менше 80 мм та заливаються бетоном.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Допускається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використання декоративних ґрат чи жалюзі, які за міцністю не повинні поступатися зазначеним вище ґратам.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Приміщення, які використовуються для зберігання наркотичних засобів, психотропних речовин і прекурсорів списку 1 таблиці IV Переліку в лікувально-профілактичних закладах (далі - ЛПЗ) та закладах ветеринарної медицини (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кр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ім зазначених у 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ідпункті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4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пункту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1 розділу ІІ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 повинні відповідати таким вимогам: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 мають бути еквівалентні за міцністю цегляним стінам товщиною не менше 500 мм;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ідлога і стеля мають бути еквівалентні за міцністю залізобетонній плиті товщиною не менше 180 мм;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іни, стельове перекриття, підлога, які не відповідають указаним вимогам, з внутрішнього боку по всій площі повинні бути укріплені сталевими ґратами з діаметром прутів не менше 10 мм та розмірами вічок не більше 150x150 мм. ґрати приварюються до випущених з кладки стіни чи плит, перекритих анкерами діаметром не менше 12 мм, кроком 500x500 мм. Якщо неможливо вмонтувати анкери, то 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допускається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пристрілювати до залізобетонних поверхонь чотирма дюбелями закладні деталі із сталевої штаби розміром 100x50x6 мм;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вхідні двері сховищ мають бути справні, добре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ідігнані під дверну коробку, металеві або дерев'яні повнотілі, товщиною не менше 40 мм, мати не менше двох врізаних несамозамикальних замків;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віконні отвори приміщень з внутрішнього боку чи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між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рамами повинні    бути обладнані металевими ґратами.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Допускається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використання декоративних ґрат чи жалюзі, які за міцністю не повинні поступатися зазначеним вище ґратам.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lastRenderedPageBreak/>
        <w:t>4</w:t>
      </w:r>
      <w:r w:rsidRPr="00811FB6">
        <w:rPr>
          <w:rFonts w:ascii="Verdana" w:eastAsia="Times New Roman" w:hAnsi="Verdana" w:cs="Times New Roman"/>
          <w:color w:val="000000"/>
          <w:sz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 Приміщення, які використовуються для зберігання наркотичних засобів,  психотропних речовин і прекурсорів списку 1 таблиці IV Переліку в аптеках, дільничних лікарнях, лікарських амбулаторіях, сільських   лікарських амбулаторіях, амбулаторіях сімейної  медицини, відділеннях  (постах) ЛПЗ; у вимірювальних, діагностичних лабораторіях;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лабораторіях ветеринарної медицини; науково-дослідних інститутах, навчальних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закладах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    у лабораторіях контролю якості; у фізичних осіб-підприємців, які мають ліцензію на провадження медичної або ветеринарної  практики, повинні відповідати таким вимогам: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окрема кімната в капітальній буді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вл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 має бути обладнана сейфами або металевими шафами, прикріпленими до підлоги (стіни);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вхідні двері повинні бути добре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ідігнані під дверну коробку, металеві або дерев'яні повнотілі, товщиною не менше 40 мм, мати не менше двох врізаних несамозамикальних замків;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віконні отвори приміщень з внутрішнього боку чи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між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рамами мають бути обладнані металевими ґратами.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Допускається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використання декоративних ґрат чи жалюзі, які за міцністю не повинні поступатися зазначеним вище ґратам.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Приміщення, які використовуються для зберігання прекурсорів списку 2 таблиці IV Переліку; приміщення, які використовуються для розроблення, виробництва і використання прекурсорів списку 2 таблиці IV Переліку (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кр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ім указаних у 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ідпункті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6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пункту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1 розділу ІІ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),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п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овинні відповідати таким вимогам: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зовнішні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 повинні бути капітальними;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внутрішні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 не повинні бути суміжними з безгосподарними приміщеннями або приміщеннями, що належать стороннім організаціям;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 і підлога повинні бути з негорючих матеріалів;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вхідні двері сховищ повинні бути справними, добре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ідігнаними під дверну коробку, мати не менше двох врізаних несамозамикальних замків. Двері дерев'яні оббиваються з обох боків листовим залізом;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дверні отвори повинні мати пороги з пандусами не менше 0,15 м для запобігання розливанню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р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ідини в разі аварії;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віконні отвори приміщень з внутрішнього боку чи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між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рамами повинні бути обладнані металевими ґратами.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Допускається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використання декоративних ґрат чи жалюзі, які за міцністю не повинні поступатися зазначеним вище ґратам.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6</w:t>
      </w:r>
      <w:r w:rsidRPr="00811FB6">
        <w:rPr>
          <w:rFonts w:ascii="Verdana" w:eastAsia="Times New Roman" w:hAnsi="Verdana" w:cs="Times New Roman"/>
          <w:color w:val="000000"/>
          <w:sz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 Приміщення, які використовуються для зберігання прекурсорів списку 2 таблиці IV Переліку за умови місячного обсягу запасу цих речовин не більше ніж 15 кг (л), а також закладів ветеринарної медицини (клініки, лікарні, пункти) та приміщення фізичних осіб-підприємців, які мають ліцензію на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провадження ветеринарної практики, що використовуються для зберігання та  використання ветеринарних препаратів, які у своєму складі містять психотропні речовини списків 2 таблиць ІІ і ІІІ Переліку (за умови, що загальна кількість діючої речовини не перевищує 10 г), повинні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в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ідповідати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таким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вимогам: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окрема кімната в капітальній буді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вл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 має бути обладнана сейфами або металевими шафами;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вхідні двері повинні бути добре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ідігнані під дверну коробку, металеві або дерев'яні повнотілі, товщиною не менше 40 мм, мати не менше двох врізаних несамозамикальних замків;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віконні отвори приміщень з внутрішнього боку чи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між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рамами мають бути обладнані металевими ґратами.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Допускається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використання декоративних ґрат чи жалюзі, які за міцністю не повинні поступатися зазначеним вище ґратам.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Приміщення, які використовуються для здійснення господарської діяльності,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пов'язано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ї зі зберіганням рослин, уключених до Переліку повинні відповідати  таким вимогам: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вхідні двері мають бути виготовлені з металоконструкцій або з повнотілого дерева товщиною не менше 40 мм. У разі меншої товщини полотно дерев'яних 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дверей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оббивається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зсередини цільнолистовим залізом товщиною не менше 0,6 мм із загинанням країв листа на торець полотна;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двостулкові двері обладнуються двома внутрішніми стопорними шпінгалетами або засувами, що встановлюються у верхній та нижній частинах дверного полотна.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З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метою захисту двостулкових дверей можуть використовуватись спеціальні двосторонні шпінгалетні затвори, що в разі замикання можуть фіксуватися врізаними або навісними замками;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ангар (складське приміщення), який використовується для здійснення господарської діяльності, пов’язаної зі зберіганням рослин, за винятком рослин роду коноплі для промислових цілей за умови використання насіння, зібраного із сортів рослин, у висушеній соломі яких вмі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тетрагідроканнабінолу не перевищував 0,08 відсотка повинен бути виготовлений з металоконструкцій або з інших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матер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іалів (повнотілої цегляної чи кам'яної кладки, залізобетону чи еквівалентних за міцністю матеріалів) та мати металевий дах. У разі покриття даху іншими матеріалами обов'язкова наявність дерев'яного, металевого, залізобетонного або з екві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валентного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 міцністю іншого матеріалу перекриття;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віконні отвори та віконні прорізи,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у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разі наявності, обладнуються металевими ґратами або захисними щитами і віконницями. Захисні щити та віконниці за конструкцією мають бути аналогічні вхідним дверям та мати затворні пристрої з внутрішнього боку.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2. 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Техн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ічне укріплення місць концентрації відкритого типу (об'єктів):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Місця концентрації відкритого типу, які використовуються для обігу прекурсорі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в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списку 2 таблиці IV Переліку повинні відповідати таким вимогам: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розміщуватися на майданчиках, які мають нижчу позначку щодо прилеглих будівель та населених пункті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в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територія має бути ізольованою від загальної території суб'єкта господарювання і мати окрему огорожу.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Місця концентрації відкритого типу, які використовуються для здійснення господарської діяльності, 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пов'язано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ї з культивуванням рослин, за винятком рослин роду коноплі для промислових цілей за умови використання насіння, зібраного із сортів рослин, у висушеній соломі яких вмі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тетрагідроканнабінолу не перевищував 0,08 відсотка, уключених до Переліку повинні відповідати таким вимогам: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розташовуватися на відстані не менше ніж 1 км від населених пунктів, 1 км від автомобільних доріг державного та місцевого значення, залізничних шляхів сполучення, лісових угідь та не менше ніж 3 км від мі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що мають спеціальний статус, республіканського й обласного підпорядкування, а також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державного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кордону України.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Територія місць концентрації відкритого типу, які використовуються для здійснення господарської діяльності,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пов'язано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ї зі зберіганням і знищенням рослин, уключених до Переліку має бути ізольованою від загальної території суб'єкта господарювання, очищеною від кущів і чагарників.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III. Оснащення місць концентрації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Оснащення місць концентрації закритого типу (приміщень):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Приміщення, які використовуються для зберігання вилучених з 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незаконного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обігу наркотичних засобів, психотропних речовин і прекурсорів, повинні бути обладнані багаторубіжними системами охоронної сигналізації з використанням сучасних 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техн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ічних засобів.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Самостійний рубіж охоронної сигналізації - це умовний кордон у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ідохоронній зоні, що включає в себе відокремлені шлейфи (шлейф) охоронної сигналізації, інформація з яких виводиться окремо на прилади приймально-контрольні (далі - 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ППК), та/або системи передавання тривожних сповіщень (далі - СПТС), та/або пульти централізованого спостереження (далі - ПЦС).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Першим рубежем охоронної сигналізації захищають периметр будівельних конструкцій (вікна, двері, люки, вентиляційні канали,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іни, стелі, підлоги та інші елементи будівель, доступні для проникнення із зовні). Для захисту першого рубежу охоронної сигналізації рекомендується застосовувати сповіщувачі: точкові, електроконтактні і магнітоконтактні; поверхневі та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л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інійні омічні, оптико-електронні, інфрачервоні, поверхневі вібраційні та об'ємні акустичні.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Двері блокуються на відкривання і пролом. Вікна захищаються сигналізацією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на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відкривання і руйнування скла. Некапітальні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іни, стелі, місця вводу комунікацій - на пролом. Капітальні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іни, вентиляційні коробки - на руйнування та ударну дію.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Другим рубежем захищають внутрішні об'єми, площі та внутрішні двері приміщень. Для захисту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другого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рубежу охоронної сигналізації рекомендується застосовувати сповіщувачі: оптико-електронні, інфрачервоні радіохвильові, ультразвукові, точкові, електроконтактні і магнітоконтактні, лінійні та об'ємні.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Третім рубежем захищаються безпосередньо: сховища, сейфи, металеві шафи та ящики, що використовуються для зберігання наркотичних засобів, психотропних речовин і прекурсорі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в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При цьому застосовуються оптико-електронні, ємнісні, акустичні, удароконтактні, теплові, електроконтактні, магнітоконтактні та омічні сповіщувачі.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окремі рубежі охоронної сигналізації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ідключаються точкові електроконтактні та магнітоконтактні сповіщувачі (кнопки) тривожної сигналізації, що використовуються персоналом, який виконує операції з наркотичними засобами, для подачі сигналу "тривога" у разі нападу на об'єкт (приміщення) або при виникненні іншої загрози життю та здоров'ю людей.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Приміщення, які використовуються як аптечні склади, склади на фармацевтичних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ідприємствах для зберігання наркотичних засобів, психотропних речовин і прекурсорів списку 1 таблиці IV Переліку приміщення, які використовуються для розроблення або виробництва наркотичних засобів, психотропних речовин і прекурсорів списку 1 таблиці IV Переліку, повинні бути обладнані багаторубіжними системами охоронної сигналізації з використанням сучасних 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техн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ічних засобів.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Самостійний рубіж охоронної сигналізації - це умовний кордон у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ідохоронній зоні, що включає в себе відокремлені шлейфи (шлейф) охоронної сигналізації, інформація з яких виводиться окремо на ППК, та/або СПТС, та/або ПЦС.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Першим рубежем охоронної сигналізації захищають периметр будівельних конструкцій (вікна, двері, люки, вентиляційні канали,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іни, стелі, підлоги та інші елементи будівель, доступні для проникнення із зовні). Для захисту першого рубежу охоронної сигналізації рекомендується застосовувати сповіщувачі: точкові, електроконтактні і магнітоконтактні; поверхневі та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л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інійні омічні, оптико-електронні, інфрачервоні, поверхневі вібраційні й об'ємні акустичні.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Двері блокуються на відкривання і пролом. Вікна захищаються сигналізацією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на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відкривання і руйнування скла.  Некапітальні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іни, стелі, місця вводу комунікацій - на пролом. Капітальні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іни, вентиляційні коробки - на руйнування та ударну дію.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Другим рубежем захищають внутрішні об'єми, площі та внутрішні двері приміщень. Для захисту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другого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рубежу охоронної сигналізації рекомендується застосовувати сповіщувачі: оптико-електронні, інфрачервоні радіохвильові, ультразвукові, точкові, електроконтактні і магнітоконтактні, лінійні та об'ємні.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Третім рубежем захищаються безпосередньо: сховища, сейфи, металеві шафи та ящики, що використовуються для зберігання наркотичних засобів, психотропних речовин і прекурсорі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в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При цьому застосовуються оптико-електронні, ємнісні, акустичні, удароконтактні, теплові, електроконтактні, магнітоконтактні та омічні сповіщувачі.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На окремі рубежі охоронної сигналізації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ідключаються точкові електроконтактні та магнітоконтактні сповіщувачі (кнопки) тривожноїсигналізації, що використовуються персоналом, який виконує операції з наркотичними засобами, для подачі сигналу "тривога" у разі нападу на об'єкт (приміщення) або при виникненні іншої загрози життю та здоров'ю людей.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Приміщення, які використовуються для зберігання наркотичних засобів, психотропних речовин і прекурсорів списку 1 таблиці IV Переліку в ЛПЗ та закладах ветеринарної медицини (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кр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ім зазначених у 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ідпункті 4 пункту 1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розділу ІІ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 повинні бути обладнані сигналізацією, що захищає будівельні конструкції периметрі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в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прим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іщень: віконні та дверні отвори, вентиляційні канали, теплові вводи та інші елементи приміщення, які доступні для  проникнення із зовнішнього боку.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Двері блокуються на відкривання і пролом. Вікна захищаються сигналізацією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на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відкривання і руйнування скла.  Некапітальні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іни, стелі, місця вводу комунікацій - на пролом. Капітальні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іни, вентиляційні коробки - на руйнування та ударну дію з виведенням сигналу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«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тривога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» на пульти централізованого спостереження поліції охорони.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4) Приміщення, які використовуються для зберігання наркотичних засобів,  психотропних речовин і прекурсорів списку 1 таблиці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IV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Переліку в аптеках, дільничних лікарнях, лікарських амбулаторіях, сільських лікарських амбулаторіях, амбулаторіях сімейної медицини, відділеннях  (постах) ЛПЗ; у вимірювальних, діагностичних лабораторіях; лабораторіях ветеринарної медицини; науково-дослідних інститутах, навчальних закладах; у лабораторіях контролю якості; у фізичних осіб - підприємців, які мають ліцензію на провадження медичної або ветеринарної практики, повинні бути обладнані засобами автономної сигналізації, що захищають внутрішні  об'єми і площі приміщень, сейфи (металеві  шафи), що використовуються для зберігання, з виведенням сигналу «тривога» на пульти централізованого спостереження або місцеві звукові та світлові сигналізатори.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5) Приміщення, які використовуються для зберігання прекурсорів списку 2 таблиці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IV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Переліку; приміщення, які використовуються для розроблення або виробництва і використання прекурсорів  списку 2 таблиці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IV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Переліку (крім указаних у підпункті 6 пункту 1 розділу ІІ), повинні бути обладнані сигналізацією, що захищає будівельні конструкції периметрів приміщень: віконні та дверні отвори, вентиляційні канали, теплові вводи та інші елементи приміщення, які доступні для проникнення із зовнішнього боку.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Двері блокуються на відкривання і пролом. Вікна захищаються сигналізацією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на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відкривання і руйнування скла. Некапітальні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іни, стелі, місця вводу комунікацій - на пролом. Капітальні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іни, вентиляційні коробки на руйнування і ударну дію з виведенням сигналу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«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тривога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»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пульти централізованого спостереження або місцеві звукові та світлові сигналізатори.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6</w:t>
      </w:r>
      <w:r w:rsidRPr="00811FB6">
        <w:rPr>
          <w:rFonts w:ascii="Verdana" w:eastAsia="Times New Roman" w:hAnsi="Verdana" w:cs="Times New Roman"/>
          <w:color w:val="000000"/>
          <w:sz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 Приміщення, які використовуються для зберігання прекурсорів списку 2 таблиці IV Переліку за умови місячного обсягу запасу цих речовин не більше ніж 15 кг (л), повинні бути обладнані засобами автономної сигналізації, що захищають внутрішні об'єми і площі приміщень, сейфи (металеві шафи), що використовуються для зберігання, з виведенням сигналу </w:t>
      </w:r>
      <w:r w:rsidRPr="00811FB6">
        <w:rPr>
          <w:rFonts w:ascii="Verdana" w:eastAsia="Times New Roman" w:hAnsi="Verdana" w:cs="Times New Roman"/>
          <w:color w:val="000000"/>
          <w:sz w:val="21"/>
          <w:lang w:val="uk-UA" w:eastAsia="ru-RU"/>
        </w:rPr>
        <w:t>«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тривога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»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пульти централізованого спостереження або місцеві звукові й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св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ітлові сигналізатори.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Приміщення, які використовуються для здійснення господарської діяльності,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пов'язано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ї зі зберіганням і знищенням нарковмісних рослин, повинні бути обладнані: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системою охоронної сигналізації, що захищає будівельні конструкції периметрів приміщень, внутрішні об'єми і площі приміщень з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ідключенням до пультів централізованого спостереження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поліції охорони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У разі 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відсутності 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техн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ічної можливості 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ідключення систем охоронної сигналізації до пультів централізованого спостереження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поліції охорони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засобами автономної сигналізації з виводом тривожних оповіщень на звукові та світлові оповіщувачі (зазначена вимога не поширюється на зберігання та знищення рослин роду коноплі для промислових цілей за умови використання насіння, зібраного із сортів рослин, у висушеній соломі яких вмі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тетрагідроканнабінолу не перевищував 0,08 відсотка);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місцем для зважування готової продукції та пожнивних залишків з вагами, які пройшли щорічну перевірку в регіональних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ідрозділах Держспоживстандарту України;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стаціонарним місцем для спалювання нарковмісних рослин та їх пожнивних залишкі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в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Оснащення місць концентрації відкритого типу (об'єктів):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Місця концентрації відкритого типу, які використовуються для обігу прекурсорі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в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списку 2 таблиці IV Переліку повинні бути обладнані: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стаціонарною огорожею, що обмежує вільний доступ;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пропускними пунктами;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освітленням.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Місця концентрації відкритого типу, які використовуються для здійснення господарської діяльності, 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пов'язано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ї з культивуванням нарковмісних рослин, за винятком рослин роду коноплі для промислових цілей за умови використання насіння, зібраного із сортів рослин, у висушеній соломі яких вмі</w:t>
      </w:r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тетрагідроканнабінолу не перевищував 0,08 відсотка, охороняються і обладнуються: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спостережними вишками, які встановлюються з урахуванням рельєфу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м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ісцевості і висоти, що забезпечують всебічний візуальний контроль як між персоналом охорони, так і за територією поля, що охороняється;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контрольно-сл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ідовою смугою. Для зручності забезпечення надійної охорони, прийому-здачі поста (маршруту), контролю за проникненням на територію поля сторонніх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осіб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периметр території поля оборюється та боронується, ширина боронованої смуги повинна складати не менше 1 м;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обмежувальними пристроями для проїзду сторонніх транспортних засобів;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покажчиками з написом на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ідходах до території поля, що охороняється, установлюються добре видимі покажчики написом, наприклад: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«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Прохід (проїзд) заборонено (закрито)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»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«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Об'єкт охороняється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»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)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Місця концентрації відкритого типу, які використовуються для здійснення господарської діяльності, пов'язаної зі зберіганням і знищенням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н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арковмісних рослин, за винятком рослин роду коноплі для промислових цілей за умови використання насіння, зібраного із сортів рослин, у висушеній соломі яких вмі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тетрагідроканнабінолу не перевищував 0,08 відсотка, повинні охоронятися згідно з порядком, що встановлюється МВС, і бути обладнані: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контрольно-пропускними пунктами;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огорожею, яка по периметру території не повинна мати зовнішніх виступів, заглиблень та зайвих загинів і поворотів, що обмежують спостереження та ускладнюють застосування систем охоронної сигналізації.Висота зовнішньої огорожі території має становити не менше 2 м та не повинна мати лазів, проломів, інших пошкоджень, а також дверей, воріт, хвірток тощо, як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 не замикаються;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освітленням. При цьому стовпи ліній електропередач та освітлення не повинні межувати з огорожею, а знаходитися на відстані не менше 2 м від неї;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місцем для зважування готової продукції та пожнивних залишків з вагами, які пройшли щорічну перевірку в регіональних 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п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ідрозділах Держспоживстандарту України;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стаціонарним місцем для спалювання нарковмісних рослин, за винятком рослин роду коноплі для промислових цілей за умови використання насіння, 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зібраного із сортів рослин, у висушеній соломі яких вмі</w:t>
      </w:r>
      <w:proofErr w:type="gramStart"/>
      <w:r w:rsidRPr="00811FB6">
        <w:rPr>
          <w:rFonts w:ascii="Verdana" w:eastAsia="Times New Roman" w:hAnsi="Verdana" w:cs="Times New Roman"/>
          <w:color w:val="000000"/>
          <w:sz w:val="21"/>
          <w:lang w:eastAsia="ru-RU"/>
        </w:rPr>
        <w:t>ст</w:t>
      </w:r>
      <w:proofErr w:type="gramEnd"/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тетрагідроканнабінолу не перевищував 0,08 відсотка та їх пожнивних залишків.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Директор </w:t>
      </w: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Департаменту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формування політики щодо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підконтрольних Міністрові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органів влади та моніторингу МВС                                             В.Є. Боднар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АНАЛІЗ РЕГУЛЯТОРНОГО ВПЛИВУ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проекту наказу МВС «Про затвердження Вимог до об'єктів і приміщень, призначених для здійснення діяльності з обігу наркотичних   засобів, психотропних речовин, прекурсорів та зберігання вилучених з незаконного обігу таких засобів і речовин»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1. Визначення проблеми, яку буде розв’язано шляхом державного регулювання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Проект наказу МВС «Про затвердження Вимог до об'єктів і приміщень, призначених для здійснення діяльності з обігу наркотичних засобів, психотропних речовин, прекурсорів та зберігання вилучених з незаконного обігу таких засобів і речовин» розроблено Національною поліцією України відповідно до Законів України «Про наркотичні засоби, психотропні речовини і прекурсори», «Про Національну поліцію» для вдосконалення механізму видачі Національною поліцією України дозволу на використання об'єктів і приміщень, призначених для здійснення діяльності з обігу наркотичних засобів, психотропних речовин і прекурсорів, з метою приведення нормативно-правових актів МВС, які регулюють діяльність Національної поліції України, у відповідність до законодавства.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Відповідно до статті 11 Закону України «Про наркотичні засоби психотропні речовини і прекурсори» дозвіл на використання об'єктів і приміщень,  призначених для здійснення діяльності з обігу наркотичних засобів,  психотропних речовин і прекурсорів, видається на підставі перевірки відповідності цих об'єктів і приміщень установленим Міністерством внутрішніх справ України вимогам.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Таким чином, визначення типових вимог до техніки укріплення та оснащення для суб’єктів господарювання, створить умови  приймати рішення про надання відповідного дозволу Національної поліції на провадження діяльності у сфері обігу наркотичних засобів, психотропних речовин і прекурсорів, з метою подальшого оформлення ліцензії на роботу із зазначеними речовинами.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2. Визначення цілей державного регулювання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pacing w:val="-3"/>
          <w:sz w:val="21"/>
          <w:szCs w:val="21"/>
          <w:lang w:val="uk-UA" w:eastAsia="ru-RU"/>
        </w:rPr>
        <w:t>Положеннями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проекту наказу МВС «Про затвердження Вимог до об'єктів і приміщень, призначених для здійснення діяльності з обігу наркотичних засобів, психотропних речовин, прекурсорів та зберігання вилучених з незаконного обігу таких засобів і речовин»</w:t>
      </w: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визначено наступні цілі державного регулювання: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удосконалення державного контролю за діяльністю з обігу наркотичних засобів, психотропних речовин і прекурсорів;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pacing w:val="-3"/>
          <w:sz w:val="21"/>
          <w:szCs w:val="21"/>
          <w:lang w:val="uk-UA" w:eastAsia="ru-RU"/>
        </w:rPr>
        <w:t>визначення єдиних типових вимог до об’єктів і приміщень, що використовуються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суб’єктами господарювання, які мають ліцензію на провадження діяльності </w:t>
      </w:r>
      <w:r w:rsidRPr="00811FB6">
        <w:rPr>
          <w:rFonts w:ascii="Verdana" w:eastAsia="Times New Roman" w:hAnsi="Verdana" w:cs="Times New Roman"/>
          <w:color w:val="000000"/>
          <w:spacing w:val="-3"/>
          <w:sz w:val="21"/>
          <w:szCs w:val="21"/>
          <w:lang w:val="uk-UA" w:eastAsia="ru-RU"/>
        </w:rPr>
        <w:t>у сфері обігу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наркотичних засобів, психотропних речовин, прекурсорів.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pacing w:val="-3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3. Альтернативні способи досягнення зазначених цілей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З метою вирішення поставлених цілей можливі такі способи: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 xml:space="preserve">1-й  спосіб – залишення чинними норми наказу МВС від 15.05.2009 № 216 «Про затвердження Вимог до об’єктів і приміщень, призначених для здійснення 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lastRenderedPageBreak/>
        <w:t>діяльності з обігу наркотичних засобів, психотропних речовин, прекурсорів та зберігання вилучених з незаконного обігу таких засобів і речовин».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Зазначений спосіб є неприйнятним, оскільки не відповідає Законам України «Про Національну поліцію» та «Про наркотичні засоби, психотропні речовини і прекурсори» у зв’язку зі змінами, що запровадили механізм видачі дозволу Національною поліцією. Залишення чинних норм унеможливлюватиме в подальшому отримання суб’єктами господарювання ліцензій на здійснення діяльності, пов’язаної з обігом наркотичних засобів, психотропних речовин і прекурсорів;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2-й спосіб </w:t>
      </w:r>
      <w:r w:rsidRPr="00811FB6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val="uk-UA" w:eastAsia="ru-RU"/>
        </w:rPr>
        <w:t>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–  запровадження ринкових (договірних) або будь-яких інших механізмів, крім державного регулювання обігу наркотичних засобів, психотропних речовин і прекурсорів.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Запровадження зазначеного варіанту не є прийнятним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оскільки суперечить нормам Єдиної Конвенції про наркотичні засоби 1961 року, ратифікованої Президією Верховної Ради СРСР 14 грудня 1963 року, Закону України від 2 листопада 2000 року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Про приєднання України до Протоколу про поправки до Єдиної Конвенції про наркотичні засоби 1961 року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, Конвенції про психотропні речовини від 21 лютого 1971 року, Конвенції Організації Об’єднаних Націй про боротьбу проти  незаконного обігу наркотичних засобів і психотропних речовин від 20 грудня 1988 року, ратифікованої постановою Верховної Ради УРСР від 25 квітня  1991 року;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3-й спосіб – розроблення нового проекту наказу, який запровадить єдині вимоги </w:t>
      </w:r>
      <w:r w:rsidRPr="00811FB6">
        <w:rPr>
          <w:rFonts w:ascii="Verdana" w:eastAsia="Times New Roman" w:hAnsi="Verdana" w:cs="Times New Roman"/>
          <w:color w:val="000000"/>
          <w:spacing w:val="3"/>
          <w:sz w:val="21"/>
          <w:szCs w:val="21"/>
          <w:lang w:val="uk-UA" w:eastAsia="ru-RU"/>
        </w:rPr>
        <w:t>до об’єктів і приміщень, для суб’єктів господарювання з метою отримання ліцензії на провадження </w:t>
      </w:r>
      <w:r w:rsidRPr="00811FB6">
        <w:rPr>
          <w:rFonts w:ascii="Verdana" w:eastAsia="Times New Roman" w:hAnsi="Verdana" w:cs="Times New Roman"/>
          <w:color w:val="000000"/>
          <w:spacing w:val="1"/>
          <w:sz w:val="21"/>
          <w:szCs w:val="21"/>
          <w:lang w:val="uk-UA" w:eastAsia="ru-RU"/>
        </w:rPr>
        <w:t>діяльності з обігу наркотичних засобів, </w:t>
      </w:r>
      <w:r w:rsidRPr="00811FB6">
        <w:rPr>
          <w:rFonts w:ascii="Verdana" w:eastAsia="Times New Roman" w:hAnsi="Verdana" w:cs="Times New Roman"/>
          <w:color w:val="000000"/>
          <w:spacing w:val="3"/>
          <w:sz w:val="21"/>
          <w:szCs w:val="21"/>
          <w:lang w:val="uk-UA" w:eastAsia="ru-RU"/>
        </w:rPr>
        <w:t>психотропних речовин та прекурсорів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Зазначений проект наказу МВС передбачає запровадження чітких вимог та </w:t>
      </w:r>
      <w:r w:rsidRPr="00811FB6">
        <w:rPr>
          <w:rFonts w:ascii="Verdana" w:eastAsia="Times New Roman" w:hAnsi="Verdana" w:cs="Times New Roman"/>
          <w:color w:val="000000"/>
          <w:spacing w:val="1"/>
          <w:sz w:val="21"/>
          <w:szCs w:val="21"/>
          <w:lang w:val="uk-UA" w:eastAsia="ru-RU"/>
        </w:rPr>
        <w:t>визначає заходи, що </w:t>
      </w:r>
      <w:r w:rsidRPr="00811FB6">
        <w:rPr>
          <w:rFonts w:ascii="Verdana" w:eastAsia="Times New Roman" w:hAnsi="Verdana" w:cs="Times New Roman"/>
          <w:color w:val="000000"/>
          <w:spacing w:val="8"/>
          <w:sz w:val="21"/>
          <w:szCs w:val="21"/>
          <w:lang w:val="uk-UA" w:eastAsia="ru-RU"/>
        </w:rPr>
        <w:t>вживатимуться </w:t>
      </w:r>
      <w:r w:rsidRPr="00811FB6">
        <w:rPr>
          <w:rFonts w:ascii="Verdana" w:eastAsia="Times New Roman" w:hAnsi="Verdana" w:cs="Times New Roman"/>
          <w:color w:val="000000"/>
          <w:spacing w:val="3"/>
          <w:sz w:val="21"/>
          <w:szCs w:val="21"/>
          <w:lang w:val="uk-UA" w:eastAsia="ru-RU"/>
        </w:rPr>
        <w:t>суб’єктами господарської діяльності</w:t>
      </w:r>
      <w:r w:rsidRPr="00811FB6">
        <w:rPr>
          <w:rFonts w:ascii="Verdana" w:eastAsia="Times New Roman" w:hAnsi="Verdana" w:cs="Times New Roman"/>
          <w:color w:val="000000"/>
          <w:spacing w:val="8"/>
          <w:sz w:val="21"/>
          <w:szCs w:val="21"/>
          <w:lang w:val="uk-UA" w:eastAsia="ru-RU"/>
        </w:rPr>
        <w:t> з технічного укріплення та охорони </w:t>
      </w:r>
      <w:r w:rsidRPr="00811FB6">
        <w:rPr>
          <w:rFonts w:ascii="Verdana" w:eastAsia="Times New Roman" w:hAnsi="Verdana" w:cs="Times New Roman"/>
          <w:color w:val="000000"/>
          <w:spacing w:val="4"/>
          <w:sz w:val="21"/>
          <w:szCs w:val="21"/>
          <w:lang w:val="uk-UA" w:eastAsia="ru-RU"/>
        </w:rPr>
        <w:t>місць концентрації наркотичних засобів, психотропних речовин і прекурсорів</w:t>
      </w:r>
      <w:r w:rsidRPr="00811FB6">
        <w:rPr>
          <w:rFonts w:ascii="Verdana" w:eastAsia="Times New Roman" w:hAnsi="Verdana" w:cs="Times New Roman"/>
          <w:color w:val="000000"/>
          <w:spacing w:val="3"/>
          <w:sz w:val="21"/>
          <w:szCs w:val="21"/>
          <w:lang w:val="uk-UA" w:eastAsia="ru-RU"/>
        </w:rPr>
        <w:t>, для подальшого отримання ліцензії на провадження діяльності з обігу наркотичних засобів, психотропних речовин і прекурсорів.</w:t>
      </w:r>
      <w:r w:rsidRPr="00811FB6">
        <w:rPr>
          <w:rFonts w:ascii="Verdana" w:eastAsia="Times New Roman" w:hAnsi="Verdana" w:cs="Times New Roman"/>
          <w:color w:val="000000"/>
          <w:spacing w:val="8"/>
          <w:sz w:val="21"/>
          <w:szCs w:val="21"/>
          <w:lang w:val="uk-UA" w:eastAsia="ru-RU"/>
        </w:rPr>
        <w:t>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Забезпечує досягнення цілей державного регулювання.</w:t>
      </w:r>
    </w:p>
    <w:p w:rsidR="00811FB6" w:rsidRPr="00811FB6" w:rsidRDefault="00811FB6" w:rsidP="00811FB6">
      <w:pPr>
        <w:shd w:val="clear" w:color="auto" w:fill="F8F8F6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tbl>
      <w:tblPr>
        <w:tblW w:w="9072" w:type="dxa"/>
        <w:jc w:val="center"/>
        <w:tblInd w:w="250" w:type="dxa"/>
        <w:tblCellMar>
          <w:left w:w="0" w:type="dxa"/>
          <w:right w:w="0" w:type="dxa"/>
        </w:tblCellMar>
        <w:tblLook w:val="04A0"/>
      </w:tblPr>
      <w:tblGrid>
        <w:gridCol w:w="2682"/>
        <w:gridCol w:w="3185"/>
        <w:gridCol w:w="3205"/>
      </w:tblGrid>
      <w:tr w:rsidR="00811FB6" w:rsidRPr="00811FB6" w:rsidTr="00811FB6">
        <w:trPr>
          <w:jc w:val="center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FB6" w:rsidRPr="00811FB6" w:rsidRDefault="00811FB6" w:rsidP="0081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val="uk-UA" w:eastAsia="ru-RU"/>
              </w:rPr>
              <w:t>Можливі способи досягнення цілей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FB6" w:rsidRPr="00811FB6" w:rsidRDefault="00811FB6" w:rsidP="0081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val="uk-UA" w:eastAsia="ru-RU"/>
              </w:rPr>
              <w:t>Оцінка способу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val="uk-UA" w:eastAsia="ru-RU"/>
              </w:rPr>
              <w:t>Причини відмови від альтернативних способів/ аргументи щодо переваги обраного способу</w:t>
            </w:r>
          </w:p>
        </w:tc>
      </w:tr>
      <w:tr w:rsidR="00811FB6" w:rsidRPr="00811FB6" w:rsidTr="00811FB6">
        <w:trPr>
          <w:trHeight w:val="788"/>
          <w:jc w:val="center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FB6" w:rsidRPr="00811FB6" w:rsidRDefault="00811FB6" w:rsidP="0081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val="uk-UA" w:eastAsia="ru-RU"/>
              </w:rPr>
              <w:t>Збереження чинного способу регулювання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Не відповідає Законам України «Про Національну поліцію» та «Про наркотичні засоби, психотропні речовини і прекурсори»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 Подальше не вирішення зазначеного питання унеможливлює забезпечення належного рівня контролю за обігом наркотичних засобів, психотропних речовин і прекурсорів</w:t>
            </w:r>
          </w:p>
        </w:tc>
      </w:tr>
      <w:tr w:rsidR="00811FB6" w:rsidRPr="00811FB6" w:rsidTr="00811FB6">
        <w:trPr>
          <w:trHeight w:val="519"/>
          <w:jc w:val="center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FB6" w:rsidRPr="00811FB6" w:rsidRDefault="00811FB6" w:rsidP="0081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val="uk-UA" w:eastAsia="ru-RU"/>
              </w:rPr>
              <w:t>Інший від запропонованого спосіб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Не забезпечує належного рівня контролю за обігом наркотичних засобів, психотропних речовин і прекурсорів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 xml:space="preserve">Спосіб оцінюється як неефективний, оскільки запровадження вказаного способу призведе до витоку підконтрольних речовин у незаконний обіг, збільшення обсягів їх тіньового обігу та зростання темпів наркотизації населення </w:t>
            </w: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lastRenderedPageBreak/>
              <w:t>України</w:t>
            </w:r>
          </w:p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 </w:t>
            </w:r>
          </w:p>
        </w:tc>
      </w:tr>
      <w:tr w:rsidR="00811FB6" w:rsidRPr="00811FB6" w:rsidTr="00811FB6">
        <w:trPr>
          <w:trHeight w:val="1418"/>
          <w:jc w:val="center"/>
        </w:trPr>
        <w:tc>
          <w:tcPr>
            <w:tcW w:w="2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FB6" w:rsidRPr="00811FB6" w:rsidRDefault="00811FB6" w:rsidP="0081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val="uk-UA" w:eastAsia="ru-RU"/>
              </w:rPr>
              <w:lastRenderedPageBreak/>
              <w:t>Обраний спосіб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Відповідає вимогам законодавства України. Відповідає міжнародним нормативно-правовим актам, які ратифіковані законодавчими органами України. </w:t>
            </w:r>
          </w:p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Забезпечує досягнення цілей державного регулювання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Є ефективним та дієвим засобом вирішення встановлення заходів контролю за обігом наркотичних засобів, психотропних речовин і прекурсорів</w:t>
            </w:r>
          </w:p>
        </w:tc>
      </w:tr>
    </w:tbl>
    <w:p w:rsidR="00811FB6" w:rsidRPr="00811FB6" w:rsidRDefault="00811FB6" w:rsidP="00811FB6">
      <w:pPr>
        <w:shd w:val="clear" w:color="auto" w:fill="F8F8F6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4. Опис механізму, який пропонується для розв’язання проблеми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В</w:t>
      </w:r>
      <w:r w:rsidRPr="00811FB6">
        <w:rPr>
          <w:rFonts w:ascii="Verdana" w:eastAsia="Times New Roman" w:hAnsi="Verdana" w:cs="Times New Roman"/>
          <w:color w:val="000000"/>
          <w:spacing w:val="6"/>
          <w:sz w:val="21"/>
          <w:szCs w:val="21"/>
          <w:lang w:val="uk-UA" w:eastAsia="ru-RU"/>
        </w:rPr>
        <w:t>имоги </w:t>
      </w:r>
      <w:r w:rsidRPr="00811FB6">
        <w:rPr>
          <w:rFonts w:ascii="Verdana" w:eastAsia="Times New Roman" w:hAnsi="Verdana" w:cs="Times New Roman"/>
          <w:color w:val="000000"/>
          <w:spacing w:val="1"/>
          <w:sz w:val="21"/>
          <w:szCs w:val="21"/>
          <w:lang w:val="uk-UA" w:eastAsia="ru-RU"/>
        </w:rPr>
        <w:t>визначають заходи, що </w:t>
      </w:r>
      <w:r w:rsidRPr="00811FB6">
        <w:rPr>
          <w:rFonts w:ascii="Verdana" w:eastAsia="Times New Roman" w:hAnsi="Verdana" w:cs="Times New Roman"/>
          <w:color w:val="000000"/>
          <w:spacing w:val="8"/>
          <w:sz w:val="21"/>
          <w:szCs w:val="21"/>
          <w:lang w:val="uk-UA" w:eastAsia="ru-RU"/>
        </w:rPr>
        <w:t>вживаються </w:t>
      </w:r>
      <w:r w:rsidRPr="00811FB6">
        <w:rPr>
          <w:rFonts w:ascii="Verdana" w:eastAsia="Times New Roman" w:hAnsi="Verdana" w:cs="Times New Roman"/>
          <w:color w:val="000000"/>
          <w:spacing w:val="3"/>
          <w:sz w:val="21"/>
          <w:szCs w:val="21"/>
          <w:lang w:val="uk-UA" w:eastAsia="ru-RU"/>
        </w:rPr>
        <w:t>суб’єктами господарської діяльності, для отримання ліцензії на провадження діяльності з обігу наркотичних засобів, психотропних речовин, прекурсорів, з технічного укріплення та охорони місць концентрації наркотичних засобів, психотропних речовин і прекурсорів, призначених для здійснення </w:t>
      </w:r>
      <w:r w:rsidRPr="00811FB6">
        <w:rPr>
          <w:rFonts w:ascii="Verdana" w:eastAsia="Times New Roman" w:hAnsi="Verdana" w:cs="Times New Roman"/>
          <w:color w:val="000000"/>
          <w:spacing w:val="2"/>
          <w:sz w:val="21"/>
          <w:szCs w:val="21"/>
          <w:lang w:val="uk-UA" w:eastAsia="ru-RU"/>
        </w:rPr>
        <w:t>діяльності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зі зберігання та використання наркотичних засобів, психотропних речовин і прекурсорів Переліку наркотичних засобів психотропних речовин і прекурсорів, затвердженого постановою Кабінету Міністрів України від            06 травня 2000 року № 770 (далі- Перелік).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Місця концентрації можуть бути закритого (приміщення) або відкритого </w:t>
      </w:r>
      <w:r w:rsidRPr="00811FB6">
        <w:rPr>
          <w:rFonts w:ascii="Verdana" w:eastAsia="Times New Roman" w:hAnsi="Verdana" w:cs="Times New Roman"/>
          <w:color w:val="000000"/>
          <w:spacing w:val="2"/>
          <w:sz w:val="21"/>
          <w:szCs w:val="21"/>
          <w:lang w:val="uk-UA" w:eastAsia="ru-RU"/>
        </w:rPr>
        <w:t>(об'єкти) типу. </w:t>
      </w:r>
      <w:r w:rsidRPr="00811FB6">
        <w:rPr>
          <w:rFonts w:ascii="Verdana" w:eastAsia="Times New Roman" w:hAnsi="Verdana" w:cs="Times New Roman"/>
          <w:color w:val="000000"/>
          <w:spacing w:val="3"/>
          <w:sz w:val="21"/>
          <w:szCs w:val="21"/>
          <w:lang w:val="uk-UA" w:eastAsia="ru-RU"/>
        </w:rPr>
        <w:t>Ці вимоги застосовуються також до місць концентрації, що </w:t>
      </w:r>
      <w:r w:rsidRPr="00811FB6">
        <w:rPr>
          <w:rFonts w:ascii="Verdana" w:eastAsia="Times New Roman" w:hAnsi="Verdana" w:cs="Times New Roman"/>
          <w:color w:val="000000"/>
          <w:spacing w:val="1"/>
          <w:sz w:val="21"/>
          <w:szCs w:val="21"/>
          <w:lang w:val="uk-UA" w:eastAsia="ru-RU"/>
        </w:rPr>
        <w:t>проектуються.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5. Обґрунтування можливості досягнення визначених цілей у разі прийняття регуляторного акта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Серед сприятливих зовнішніх обставин, які впливають на досягнення цілей регуляторного акта, можна виділити: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удосконалення процедури видачі дозволу Національної поліції України на  використання таких об'єктів і приміщень;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забезпечення прозорості обігу в Україні наркотичних засобів, психотропних речовин та прекурсорів.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Виконання норм, які встановлюються проектом акта, не викличе додаткових ускладнень у суб’єктів господарювання та не потребуватиме витрачання додаткових коштів і часу, оскільки вказаний механізм уже запроваджено та діє на всій території України.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Виконання положень цього проекту наказу буде забезпечуватися Міністерством внутрішніх справ України.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6. Визначення очікуваних результатів прийняття регуляторного акта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Прийняття проекту наказу МВС забезпечить установлення чітких, прозорих і зрозумілих вимог суб’єктам господарювання</w:t>
      </w:r>
      <w:r w:rsidRPr="00811FB6">
        <w:rPr>
          <w:rFonts w:ascii="Verdana" w:eastAsia="Times New Roman" w:hAnsi="Verdana" w:cs="Times New Roman"/>
          <w:color w:val="000000"/>
          <w:spacing w:val="3"/>
          <w:sz w:val="21"/>
          <w:szCs w:val="21"/>
          <w:lang w:val="uk-UA" w:eastAsia="ru-RU"/>
        </w:rPr>
        <w:t>, для отримання ліцензії на провадження діяльності, пов’язаної з обігом наркотичних засобів, психотропних речовин та прекурсорів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tbl>
      <w:tblPr>
        <w:tblW w:w="0" w:type="auto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3932"/>
        <w:gridCol w:w="5040"/>
      </w:tblGrid>
      <w:tr w:rsidR="00811FB6" w:rsidRPr="00811FB6" w:rsidTr="00811FB6">
        <w:trPr>
          <w:trHeight w:val="301"/>
          <w:jc w:val="center"/>
        </w:trPr>
        <w:tc>
          <w:tcPr>
            <w:tcW w:w="3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val="uk-UA" w:eastAsia="ru-RU"/>
              </w:rPr>
              <w:t>Сфери впливу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val="uk-UA" w:eastAsia="ru-RU"/>
              </w:rPr>
              <w:t>Вид впливу</w:t>
            </w:r>
          </w:p>
        </w:tc>
      </w:tr>
      <w:tr w:rsidR="00811FB6" w:rsidRPr="00811FB6" w:rsidTr="00811FB6">
        <w:trPr>
          <w:jc w:val="center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Держава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Очікуються позитивні наслідки від удосконалення державного контролю за  діяльністю з обігу наркотичних засобів, психотропних речовин і прекурсорів</w:t>
            </w:r>
          </w:p>
        </w:tc>
      </w:tr>
      <w:tr w:rsidR="00811FB6" w:rsidRPr="00811FB6" w:rsidTr="00811FB6">
        <w:trPr>
          <w:jc w:val="center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Суб’єкти господарювання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uk-UA" w:eastAsia="ru-RU"/>
              </w:rPr>
              <w:t xml:space="preserve">Виконання норм, які встановлюються проектом акта, не викличе ускладнень у </w:t>
            </w:r>
            <w:r w:rsidRPr="00811FB6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uk-UA" w:eastAsia="ru-RU"/>
              </w:rPr>
              <w:lastRenderedPageBreak/>
              <w:t>суб’єктів господарювання</w:t>
            </w:r>
          </w:p>
        </w:tc>
      </w:tr>
      <w:tr w:rsidR="00811FB6" w:rsidRPr="00811FB6" w:rsidTr="00811FB6">
        <w:trPr>
          <w:jc w:val="center"/>
        </w:trPr>
        <w:tc>
          <w:tcPr>
            <w:tcW w:w="3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lastRenderedPageBreak/>
              <w:t>Громадяни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Негативного впливу не прогнозується</w:t>
            </w:r>
          </w:p>
        </w:tc>
      </w:tr>
    </w:tbl>
    <w:p w:rsidR="00811FB6" w:rsidRPr="00811FB6" w:rsidRDefault="00811FB6" w:rsidP="00811FB6">
      <w:pPr>
        <w:shd w:val="clear" w:color="auto" w:fill="F8F8F6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Запропоновані проектом акта норми поширюється на всіх </w:t>
      </w:r>
      <w:r w:rsidRPr="00811FB6">
        <w:rPr>
          <w:rFonts w:ascii="Verdana" w:eastAsia="Times New Roman" w:hAnsi="Verdana" w:cs="Times New Roman"/>
          <w:color w:val="000000"/>
          <w:spacing w:val="3"/>
          <w:sz w:val="21"/>
          <w:szCs w:val="21"/>
          <w:lang w:val="uk-UA" w:eastAsia="ru-RU"/>
        </w:rPr>
        <w:t>суб’єктів господарської діяльності, які планують отримати ліцензію на право провадження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діяльності, пов’язаної з обігом наркотичних засобів, психотропних речовин і прекурсорів.</w:t>
      </w:r>
    </w:p>
    <w:p w:rsidR="00811FB6" w:rsidRPr="00811FB6" w:rsidRDefault="00811FB6" w:rsidP="00811FB6">
      <w:pPr>
        <w:shd w:val="clear" w:color="auto" w:fill="F8F8F6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tbl>
      <w:tblPr>
        <w:tblW w:w="8925" w:type="dxa"/>
        <w:jc w:val="center"/>
        <w:tblInd w:w="392" w:type="dxa"/>
        <w:tblCellMar>
          <w:left w:w="0" w:type="dxa"/>
          <w:right w:w="0" w:type="dxa"/>
        </w:tblCellMar>
        <w:tblLook w:val="04A0"/>
      </w:tblPr>
      <w:tblGrid>
        <w:gridCol w:w="2025"/>
        <w:gridCol w:w="2992"/>
        <w:gridCol w:w="3908"/>
      </w:tblGrid>
      <w:tr w:rsidR="00811FB6" w:rsidRPr="00811FB6" w:rsidTr="00811FB6">
        <w:trPr>
          <w:trHeight w:val="301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val="uk-UA" w:eastAsia="ru-RU"/>
              </w:rPr>
              <w:t>Об’єкт впливу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val="uk-UA" w:eastAsia="ru-RU"/>
              </w:rPr>
              <w:t>Витрати</w:t>
            </w:r>
          </w:p>
        </w:tc>
        <w:tc>
          <w:tcPr>
            <w:tcW w:w="3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val="uk-UA" w:eastAsia="ru-RU"/>
              </w:rPr>
              <w:t>Вигоди</w:t>
            </w:r>
          </w:p>
        </w:tc>
      </w:tr>
      <w:tr w:rsidR="00811FB6" w:rsidRPr="00811FB6" w:rsidTr="00811FB6">
        <w:trPr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Держава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Додаткових витрат не потребує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У результаті вдосконалення контролю прогнозується зменшення витоку підконтрольних речовин у незаконний обіг</w:t>
            </w:r>
          </w:p>
        </w:tc>
      </w:tr>
      <w:tr w:rsidR="00811FB6" w:rsidRPr="00811FB6" w:rsidTr="00811FB6">
        <w:trPr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Громадяни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Додаткових витрат не потребує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Отримають непрямі вигоди шляхом зменшення наркотизації населення України</w:t>
            </w:r>
          </w:p>
        </w:tc>
      </w:tr>
      <w:tr w:rsidR="00811FB6" w:rsidRPr="00811FB6" w:rsidTr="00811FB6">
        <w:trPr>
          <w:jc w:val="center"/>
        </w:trPr>
        <w:tc>
          <w:tcPr>
            <w:tcW w:w="1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Суб’єкти господарювання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Додаткових витрат не потребує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B6" w:rsidRPr="00811FB6" w:rsidRDefault="00811FB6" w:rsidP="00811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B6">
              <w:rPr>
                <w:rFonts w:ascii="Verdana" w:eastAsia="Times New Roman" w:hAnsi="Verdana" w:cs="Times New Roman"/>
                <w:sz w:val="21"/>
                <w:szCs w:val="21"/>
                <w:lang w:val="uk-UA" w:eastAsia="ru-RU"/>
              </w:rPr>
              <w:t>У результаті встановлення контролю прогнозується зменшення збитків від розкрадання підконтрольних препаратів та спірних питань між суб’єктами господарювання і контролюючими органами</w:t>
            </w:r>
          </w:p>
        </w:tc>
      </w:tr>
    </w:tbl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7. Обґрунтування строку чинності регуляторного акта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Проект наказу МВС «Про затвердження Вимог до об'єктів і приміщень, призначених для здійснення діяльності з обігу наркотичних засобів, психотропних речовин, прекурсорів та зберігання вилучених з незаконного обігу таких засобів і речовин» буде чинним з дня його реєстрації в Міністерстві юстиції України. Термін дії акта не обмежено.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8. Визначення показників результативності регуляторного акта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Дія проекту наказу МВС «Про затвердження Вимог до об'єктів і приміщень, призначених для здійснення діяльності з обігу наркотичних засобів, психотропних речовин, прекурсорів та зберігання вилучених з незаконного обігу таких засобів і речовин» поширюватиметься на </w:t>
      </w:r>
      <w:r w:rsidRPr="00811FB6">
        <w:rPr>
          <w:rFonts w:ascii="Verdana" w:eastAsia="Times New Roman" w:hAnsi="Verdana" w:cs="Times New Roman"/>
          <w:color w:val="000000"/>
          <w:spacing w:val="3"/>
          <w:sz w:val="21"/>
          <w:szCs w:val="21"/>
          <w:lang w:val="uk-UA" w:eastAsia="ru-RU"/>
        </w:rPr>
        <w:t>всіх суб’єктів господарської діяльності які </w:t>
      </w: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здійснюватимуть або планують здійснювати діяльність, пов’язану з обігом наркотичних засобів, психотропних речовин і прекурсорів, уключеними до Переліку.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Рівень поінформованості зацікавлених суб’єктів господарювання з основними положеннями акта високий, оскільки зазначений проект оприлюднений на офіційному веб-сайті Міністерства внутрішніх справ.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У разі затвердження вказаного проекту наказу прогнозується зменшення кількості порушень у сфері легального обігу підконтрольних речовин.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9. Визначення заходів, за допомогою яких буде здійснюватися відстеження результативності регуляторного акта в разі його прийняття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Базове відстеження результативності зазначеного регуляторного актаздійснюватиметься до дня набрання ним чинності шляхом збору пропозицій та зауважень і їх аналізу.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Повторне відстеження результативності вказаного регуляторного акта планується через рік після набрання чинності регуляторним актом, за результатами якого можна зробити порівняння показників базового та повторного відстеження.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lastRenderedPageBreak/>
        <w:t>Відстеження результативності регуляторного акта буде здійснюватися відповідно до Методики відстеження результативності регуляторного акта, затвердженої постановою Кабінету Міністрів України від 11 березня  2004 року № 308.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color w:val="000000"/>
          <w:sz w:val="21"/>
          <w:szCs w:val="21"/>
          <w:lang w:val="uk-UA" w:eastAsia="ru-RU"/>
        </w:rPr>
        <w:t> </w:t>
      </w:r>
    </w:p>
    <w:p w:rsidR="00811FB6" w:rsidRPr="00811FB6" w:rsidRDefault="00811FB6" w:rsidP="00811FB6">
      <w:pPr>
        <w:shd w:val="clear" w:color="auto" w:fill="F8F8F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1F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t>Голова Національної поліції України                          С.М. Князєв</w:t>
      </w:r>
    </w:p>
    <w:p w:rsidR="00811FB6" w:rsidRPr="00811FB6" w:rsidRDefault="00811FB6" w:rsidP="00811FB6">
      <w:pPr>
        <w:rPr>
          <w:lang w:val="uk-UA"/>
        </w:rPr>
      </w:pPr>
    </w:p>
    <w:sectPr w:rsidR="00811FB6" w:rsidRPr="00811FB6" w:rsidSect="0021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11FB6"/>
    <w:rsid w:val="002133B7"/>
    <w:rsid w:val="003C7B71"/>
    <w:rsid w:val="0081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B7"/>
  </w:style>
  <w:style w:type="paragraph" w:styleId="7">
    <w:name w:val="heading 7"/>
    <w:basedOn w:val="a"/>
    <w:link w:val="70"/>
    <w:uiPriority w:val="9"/>
    <w:qFormat/>
    <w:rsid w:val="00811FB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FB6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811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11FB6"/>
  </w:style>
  <w:style w:type="paragraph" w:styleId="a4">
    <w:name w:val="Body Text"/>
    <w:basedOn w:val="a"/>
    <w:link w:val="a5"/>
    <w:uiPriority w:val="99"/>
    <w:semiHidden/>
    <w:unhideWhenUsed/>
    <w:rsid w:val="0081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1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1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1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1F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al@antidrug.gov.ua" TargetMode="External"/><Relationship Id="rId4" Type="http://schemas.openxmlformats.org/officeDocument/2006/relationships/hyperlink" Target="http://www.npu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6117</Words>
  <Characters>34868</Characters>
  <Application>Microsoft Office Word</Application>
  <DocSecurity>0</DocSecurity>
  <Lines>290</Lines>
  <Paragraphs>81</Paragraphs>
  <ScaleCrop>false</ScaleCrop>
  <Company>Microsoft</Company>
  <LinksUpToDate>false</LinksUpToDate>
  <CharactersWithSpaces>40904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Call4</dc:creator>
  <cp:lastModifiedBy>Call4</cp:lastModifiedBy>
  <cp:revision>1</cp:revision>
  <dcterms:created xsi:type="dcterms:W3CDTF">2018-02-06T07:58:00Z</dcterms:created>
  <dcterms:modified xsi:type="dcterms:W3CDTF">2018-02-06T08:05:00Z</dcterms:modified>
</cp:coreProperties>
</file>