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FC4450" w:rsidP="00CC7B71">
            <w:pPr>
              <w:rPr>
                <w:rFonts w:ascii="Times New Roman" w:hAnsi="Times New Roman" w:cs="Times New Roman"/>
              </w:rPr>
            </w:pPr>
            <w:r w:rsidRPr="00FC4450">
              <w:rPr>
                <w:rFonts w:ascii="Times New Roman" w:eastAsia="Times New Roman" w:hAnsi="Times New Roman" w:cs="Times New Roman"/>
              </w:rPr>
              <w:t>Електрична енергія</w:t>
            </w:r>
            <w:r w:rsidR="00CC7B7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FC4450">
              <w:rPr>
                <w:rFonts w:ascii="Times New Roman" w:eastAsia="Times New Roman" w:hAnsi="Times New Roman" w:cs="Times New Roman"/>
              </w:rPr>
              <w:t>09310000-5 Електрична енергія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D21FE7" w:rsidP="00D21FE7">
            <w:pPr>
              <w:jc w:val="both"/>
              <w:rPr>
                <w:rFonts w:ascii="Times New Roman" w:hAnsi="Times New Roman" w:cs="Times New Roman"/>
              </w:rPr>
            </w:pPr>
            <w:r w:rsidRPr="00D21FE7">
              <w:rPr>
                <w:rFonts w:ascii="Times New Roman" w:eastAsia="Times New Roman" w:hAnsi="Times New Roman" w:cs="Times New Roman"/>
              </w:rPr>
              <w:t>UA-2021-10-05-014998-b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CC7B71" w:rsidP="00792F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7B71">
              <w:rPr>
                <w:rFonts w:ascii="Times New Roman" w:eastAsia="Times New Roman" w:hAnsi="Times New Roman" w:cs="Times New Roman"/>
              </w:rPr>
      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      </w:r>
            <w:r w:rsidR="00792FA3">
              <w:rPr>
                <w:rFonts w:ascii="Times New Roman" w:eastAsia="Times New Roman" w:hAnsi="Times New Roman" w:cs="Times New Roman"/>
              </w:rPr>
              <w:t xml:space="preserve"> </w:t>
            </w:r>
            <w:r w:rsidRPr="00CC7B71">
              <w:rPr>
                <w:rFonts w:ascii="Times New Roman" w:eastAsia="Times New Roman" w:hAnsi="Times New Roman" w:cs="Times New Roman"/>
              </w:rPr>
              <w:t>Товар повинен відповідати вимогам безпеки руху, охорони праці, екології та пожежної безпеки.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Характеристики напруги електропостачання в електричних мережах загального призначення (EN 50160:2010, IDT).</w:t>
            </w:r>
            <w:r w:rsidR="007367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C6B2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72913"/>
    <w:rsid w:val="006B1254"/>
    <w:rsid w:val="006B3DFB"/>
    <w:rsid w:val="00730D18"/>
    <w:rsid w:val="00736739"/>
    <w:rsid w:val="007376F7"/>
    <w:rsid w:val="00747D1A"/>
    <w:rsid w:val="00764290"/>
    <w:rsid w:val="007654AE"/>
    <w:rsid w:val="00767136"/>
    <w:rsid w:val="00792FA3"/>
    <w:rsid w:val="00796AC5"/>
    <w:rsid w:val="007B255F"/>
    <w:rsid w:val="007C0313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C7B71"/>
    <w:rsid w:val="00CD3E33"/>
    <w:rsid w:val="00D21FE7"/>
    <w:rsid w:val="00D2239C"/>
    <w:rsid w:val="00D4167C"/>
    <w:rsid w:val="00D51061"/>
    <w:rsid w:val="00DB1D76"/>
    <w:rsid w:val="00DC0665"/>
    <w:rsid w:val="00DC7EC2"/>
    <w:rsid w:val="00DE540D"/>
    <w:rsid w:val="00DF1E15"/>
    <w:rsid w:val="00E37277"/>
    <w:rsid w:val="00E6633E"/>
    <w:rsid w:val="00EB2A5C"/>
    <w:rsid w:val="00EB7903"/>
    <w:rsid w:val="00EC7B3D"/>
    <w:rsid w:val="00F06ACD"/>
    <w:rsid w:val="00F55BFA"/>
    <w:rsid w:val="00FC4450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74</cp:revision>
  <dcterms:created xsi:type="dcterms:W3CDTF">2021-01-27T14:21:00Z</dcterms:created>
  <dcterms:modified xsi:type="dcterms:W3CDTF">2021-10-08T14:24:00Z</dcterms:modified>
</cp:coreProperties>
</file>